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36" w:rsidRDefault="00D0674E">
      <w:r>
        <w:t xml:space="preserve">Новое время </w:t>
      </w:r>
      <w:r w:rsidRPr="00D0674E">
        <w:t xml:space="preserve"> выдвинуло новые требования к тому, каким должен быть современный выпускник школы. Важнейшей задачей системы образования сегодня является формирование универсальных учебных действий, которые согласно ФГОС становятся основой образовательного и воспитательного процесса.</w:t>
      </w:r>
      <w:r>
        <w:t xml:space="preserve"> </w:t>
      </w:r>
      <w:r w:rsidR="00726983" w:rsidRPr="00726983">
        <w:t>Сегодня урок должен стать для школьника не только занятием по решению задач, но и позволить ему освоить способы успешного существования в современном обществе, т. е. уметь ставить себе конкретную цель, планировать свою жизнь, прогнозировать возможные ситуации. А значит, современный ученик должен обладать регулятивными учебными действиями.</w:t>
      </w:r>
    </w:p>
    <w:p w:rsidR="00D0674E" w:rsidRDefault="00726983" w:rsidP="00726983">
      <w:r>
        <w:t xml:space="preserve">К регулятивным учебным действиям относятся: целеполагание, планирование деятельности, прогнозирование результата, контроль, коррекция, оценка, волевая </w:t>
      </w:r>
      <w:proofErr w:type="spellStart"/>
      <w:r>
        <w:t>саморегуляция</w:t>
      </w:r>
      <w:proofErr w:type="spellEnd"/>
      <w:r>
        <w:t xml:space="preserve">. </w:t>
      </w:r>
    </w:p>
    <w:p w:rsidR="00726983" w:rsidRDefault="00726983" w:rsidP="00726983">
      <w:r>
        <w:t xml:space="preserve">Ведущее место в структуре современного урока занимает </w:t>
      </w:r>
      <w:r w:rsidRPr="00BA1809">
        <w:rPr>
          <w:b/>
        </w:rPr>
        <w:t>этап целеполагания</w:t>
      </w:r>
      <w:r>
        <w:t xml:space="preserve">. Именно на данном этапе возникает внутренняя мотивация ученика на активную, </w:t>
      </w:r>
      <w:proofErr w:type="spellStart"/>
      <w:r>
        <w:t>деятельностную</w:t>
      </w:r>
      <w:proofErr w:type="spellEnd"/>
      <w:r>
        <w:t xml:space="preserve"> позицию, возникают побуждения: узна</w:t>
      </w:r>
      <w:r w:rsidR="00BA1809">
        <w:t>ть, найти, доказать. Организация</w:t>
      </w:r>
      <w:r>
        <w:t xml:space="preserve"> данного этапа требует продумывания средств, приемов, мотивирующих учащихся на предстоящую деятельность. Особенность учебной деятельности состоит в том, что «ее результатом является изменение самого учащегося». </w:t>
      </w:r>
      <w:proofErr w:type="gramStart"/>
      <w:r>
        <w:t xml:space="preserve">Новые федеральные образовательные стандарты предлагают ввести в учебную деятельность такой </w:t>
      </w:r>
      <w:proofErr w:type="spellStart"/>
      <w:r>
        <w:t>метапредметный</w:t>
      </w:r>
      <w:proofErr w:type="spellEnd"/>
      <w:r>
        <w:t xml:space="preserve"> вид как целеполагание, который в педагогическом и психологическом смысле направлен на изменение сознания школьника, изменение самого подхода к организации учебной деятельности, включения личности ребенка в планирование своей учебы, осознания своих результатов, в конечном итоге – превращения учащегося из объекта обучения в его субъект, полноправного управленца и организатора учебной деятельности.</w:t>
      </w:r>
      <w:proofErr w:type="gramEnd"/>
    </w:p>
    <w:p w:rsidR="00726983" w:rsidRDefault="003B1D06" w:rsidP="00726983">
      <w:r w:rsidRPr="00BA1809">
        <w:rPr>
          <w:b/>
        </w:rPr>
        <w:t>Что такое целеполагание?</w:t>
      </w:r>
      <w:r>
        <w:t xml:space="preserve"> Э</w:t>
      </w:r>
      <w:r w:rsidR="00726983">
        <w:t>то процесс</w:t>
      </w:r>
      <w:r w:rsidR="00D0674E">
        <w:t xml:space="preserve"> выявления целей и задач субъек</w:t>
      </w:r>
      <w:r w:rsidR="00726983"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  <w:r>
        <w:t xml:space="preserve"> </w:t>
      </w:r>
      <w:r w:rsidR="00BA1809">
        <w:t xml:space="preserve"> </w:t>
      </w:r>
      <w:r>
        <w:t>В традиционной методике целеполагание – это овладение системой прочных знаний. А целеполагание по ФГОС отражает  то, как учитель видит конечный результат, каковы итоги изучения темы и каков вклад в развитие школьника.</w:t>
      </w:r>
    </w:p>
    <w:p w:rsidR="003B1D06" w:rsidRDefault="003B1D06" w:rsidP="00726983">
      <w:r>
        <w:t>Критерии анализа целей</w:t>
      </w:r>
      <w:r w:rsidR="00243CE4">
        <w:t>:</w:t>
      </w:r>
    </w:p>
    <w:p w:rsidR="00243CE4" w:rsidRDefault="00243CE4" w:rsidP="00726983">
      <w:r>
        <w:t>1.Конкретна</w:t>
      </w:r>
    </w:p>
    <w:p w:rsidR="00243CE4" w:rsidRDefault="00243CE4" w:rsidP="00726983">
      <w:r>
        <w:t>2.Измерима</w:t>
      </w:r>
    </w:p>
    <w:p w:rsidR="00243CE4" w:rsidRDefault="00243CE4" w:rsidP="00726983">
      <w:r>
        <w:t>3.Достижима</w:t>
      </w:r>
    </w:p>
    <w:p w:rsidR="00243CE4" w:rsidRDefault="00243CE4" w:rsidP="00726983">
      <w:r>
        <w:t>4.</w:t>
      </w:r>
      <w:proofErr w:type="gramStart"/>
      <w:r>
        <w:t>Ориентирована</w:t>
      </w:r>
      <w:proofErr w:type="gramEnd"/>
      <w:r>
        <w:t xml:space="preserve"> на результат</w:t>
      </w:r>
    </w:p>
    <w:p w:rsidR="00243CE4" w:rsidRDefault="00243CE4" w:rsidP="00726983">
      <w:r>
        <w:t>5.Соотноситься с конкретным сроком</w:t>
      </w:r>
    </w:p>
    <w:p w:rsidR="00243CE4" w:rsidRDefault="00243CE4" w:rsidP="00726983">
      <w:r w:rsidRPr="008C36B9">
        <w:rPr>
          <w:b/>
        </w:rPr>
        <w:t>Цель</w:t>
      </w:r>
      <w:r>
        <w:t xml:space="preserve"> урока трансформируется в педагогические </w:t>
      </w:r>
      <w:r w:rsidRPr="008C36B9">
        <w:rPr>
          <w:b/>
        </w:rPr>
        <w:t>задачи</w:t>
      </w:r>
      <w:r>
        <w:t>:</w:t>
      </w:r>
    </w:p>
    <w:p w:rsidR="008C36B9" w:rsidRDefault="00243CE4" w:rsidP="008C36B9">
      <w:pPr>
        <w:spacing w:after="0"/>
      </w:pPr>
      <w:proofErr w:type="gramStart"/>
      <w:r w:rsidRPr="008C36B9">
        <w:rPr>
          <w:b/>
        </w:rPr>
        <w:t>Информационная</w:t>
      </w:r>
      <w:proofErr w:type="gramEnd"/>
      <w:r>
        <w:t xml:space="preserve"> -  Чему мы будем учиться?</w:t>
      </w:r>
      <w:r>
        <w:br/>
      </w:r>
      <w:r w:rsidRPr="008C36B9">
        <w:rPr>
          <w:b/>
        </w:rPr>
        <w:t>Операционная</w:t>
      </w:r>
      <w:r>
        <w:t xml:space="preserve">  - Как будем учиться?</w:t>
      </w:r>
    </w:p>
    <w:p w:rsidR="00243CE4" w:rsidRDefault="00243CE4" w:rsidP="008C36B9">
      <w:pPr>
        <w:spacing w:after="0"/>
      </w:pPr>
      <w:proofErr w:type="gramStart"/>
      <w:r w:rsidRPr="008C36B9">
        <w:rPr>
          <w:b/>
        </w:rPr>
        <w:t>Мотивационная</w:t>
      </w:r>
      <w:proofErr w:type="gramEnd"/>
      <w:r>
        <w:t xml:space="preserve"> – Зачем нам это надо?</w:t>
      </w:r>
    </w:p>
    <w:p w:rsidR="00243CE4" w:rsidRDefault="00243CE4" w:rsidP="008C36B9">
      <w:pPr>
        <w:spacing w:after="0"/>
      </w:pPr>
      <w:proofErr w:type="gramStart"/>
      <w:r w:rsidRPr="008C36B9">
        <w:rPr>
          <w:b/>
        </w:rPr>
        <w:t>Коммуникативная</w:t>
      </w:r>
      <w:proofErr w:type="gramEnd"/>
      <w:r>
        <w:t xml:space="preserve"> – С кем и где мы будем учиться?</w:t>
      </w:r>
    </w:p>
    <w:p w:rsidR="008C36B9" w:rsidRDefault="008C36B9" w:rsidP="008C36B9">
      <w:pPr>
        <w:spacing w:after="0"/>
      </w:pPr>
    </w:p>
    <w:p w:rsidR="008C36B9" w:rsidRDefault="008C36B9" w:rsidP="008C36B9">
      <w:pPr>
        <w:spacing w:after="0"/>
      </w:pPr>
    </w:p>
    <w:p w:rsidR="00BA1809" w:rsidRDefault="00BB208D" w:rsidP="00BA1809">
      <w:pPr>
        <w:jc w:val="center"/>
        <w:rPr>
          <w:b/>
        </w:rPr>
      </w:pPr>
      <w:r>
        <w:rPr>
          <w:b/>
        </w:rPr>
        <w:lastRenderedPageBreak/>
        <w:t>Некоторые приёмы</w:t>
      </w:r>
      <w:r w:rsidR="00BA1809" w:rsidRPr="00BA1809">
        <w:rPr>
          <w:b/>
        </w:rPr>
        <w:t xml:space="preserve"> целеполагания</w:t>
      </w:r>
    </w:p>
    <w:p w:rsidR="00BB208D" w:rsidRDefault="00BB208D" w:rsidP="00BB208D">
      <w:pPr>
        <w:rPr>
          <w:b/>
        </w:rPr>
      </w:pPr>
      <w:r w:rsidRPr="00BB208D">
        <w:rPr>
          <w:b/>
        </w:rPr>
        <w:t>Мозговой штурм</w:t>
      </w:r>
    </w:p>
    <w:p w:rsidR="00BB208D" w:rsidRDefault="00BB208D" w:rsidP="00BB208D">
      <w:r w:rsidRPr="00BB208D">
        <w:t>Учащимся предлагается вспомнить как можно больше слов-ассоциаций по озвученной теме урока. Все слова, которые называют ученики, записываются на доске. После того, как уче</w:t>
      </w:r>
      <w:r>
        <w:t>ники ответят, спросить</w:t>
      </w:r>
      <w:r w:rsidRPr="00BB208D">
        <w:t xml:space="preserve"> «Что бы вы хотели узнать по этой теме?». После интересующих их вопросов предлагается учащимся сформулировать тему и цели урока.</w:t>
      </w:r>
    </w:p>
    <w:p w:rsidR="00BB208D" w:rsidRPr="00BB208D" w:rsidRDefault="00BB208D" w:rsidP="00BB208D">
      <w:pPr>
        <w:rPr>
          <w:b/>
        </w:rPr>
      </w:pPr>
      <w:r w:rsidRPr="00BB208D">
        <w:rPr>
          <w:b/>
        </w:rPr>
        <w:t xml:space="preserve"> «Яркое пятно»</w:t>
      </w:r>
    </w:p>
    <w:p w:rsidR="00BB208D" w:rsidRDefault="00BB208D" w:rsidP="00BB208D">
      <w:r>
        <w:t>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</w:r>
    </w:p>
    <w:p w:rsidR="00BB208D" w:rsidRPr="00BB208D" w:rsidRDefault="00BB208D" w:rsidP="00BB208D">
      <w:pPr>
        <w:rPr>
          <w:b/>
        </w:rPr>
      </w:pPr>
      <w:r w:rsidRPr="00BB208D">
        <w:rPr>
          <w:b/>
        </w:rPr>
        <w:t>Исключение</w:t>
      </w:r>
    </w:p>
    <w:p w:rsidR="00BB208D" w:rsidRDefault="00BB208D" w:rsidP="00BB208D">
      <w:pPr>
        <w:spacing w:after="0" w:line="240" w:lineRule="auto"/>
      </w:pPr>
      <w:r>
        <w:t>Прием можно использовать через зрительное или слуховое восприятие.</w:t>
      </w:r>
    </w:p>
    <w:p w:rsidR="00BB208D" w:rsidRDefault="00BB208D" w:rsidP="00BB208D">
      <w:pPr>
        <w:spacing w:after="0" w:line="240" w:lineRule="auto"/>
      </w:pPr>
      <w:r>
        <w:t>Повторяется основа приема "Яркое пятно", но в этом случае детям необходимо через анализ общего и отличного, найти лишнее, обосновывая свой выбор.</w:t>
      </w:r>
    </w:p>
    <w:p w:rsidR="00BB208D" w:rsidRDefault="00BB208D" w:rsidP="00BB208D">
      <w:pPr>
        <w:spacing w:after="0" w:line="240" w:lineRule="auto"/>
      </w:pPr>
    </w:p>
    <w:p w:rsidR="00BB208D" w:rsidRPr="00BB208D" w:rsidRDefault="00BB208D" w:rsidP="00BB208D">
      <w:pPr>
        <w:rPr>
          <w:b/>
        </w:rPr>
      </w:pPr>
      <w:r w:rsidRPr="00BB208D">
        <w:rPr>
          <w:b/>
        </w:rPr>
        <w:t>Домысливание</w:t>
      </w:r>
    </w:p>
    <w:p w:rsidR="00BB208D" w:rsidRDefault="00BB208D" w:rsidP="00BB208D">
      <w:pPr>
        <w:spacing w:after="0" w:line="240" w:lineRule="auto"/>
      </w:pPr>
      <w:r>
        <w:t>Предлагается тема урока и слова "помощники":</w:t>
      </w:r>
    </w:p>
    <w:p w:rsidR="00BB208D" w:rsidRDefault="00BB208D" w:rsidP="00BB208D">
      <w:pPr>
        <w:spacing w:after="0" w:line="240" w:lineRule="auto"/>
      </w:pPr>
      <w:r>
        <w:t>Повторим…</w:t>
      </w:r>
    </w:p>
    <w:p w:rsidR="00BB208D" w:rsidRDefault="00BB208D" w:rsidP="00BB208D">
      <w:pPr>
        <w:spacing w:after="0" w:line="240" w:lineRule="auto"/>
      </w:pPr>
      <w:r>
        <w:t>Изучим…</w:t>
      </w:r>
    </w:p>
    <w:p w:rsidR="00BB208D" w:rsidRDefault="00BB208D" w:rsidP="00BB208D">
      <w:pPr>
        <w:spacing w:after="0" w:line="240" w:lineRule="auto"/>
      </w:pPr>
      <w:r>
        <w:t>Узнаем…</w:t>
      </w:r>
    </w:p>
    <w:p w:rsidR="00BB208D" w:rsidRDefault="00BB208D" w:rsidP="00BB208D">
      <w:pPr>
        <w:spacing w:after="0" w:line="240" w:lineRule="auto"/>
      </w:pPr>
      <w:r>
        <w:t>Проверим…</w:t>
      </w:r>
    </w:p>
    <w:p w:rsidR="00BB208D" w:rsidRDefault="00BB208D" w:rsidP="00BB208D">
      <w:pPr>
        <w:spacing w:after="0" w:line="240" w:lineRule="auto"/>
      </w:pPr>
      <w:r>
        <w:t>С помощью слов "помощников" учащиеся формулируют цели урока.</w:t>
      </w:r>
    </w:p>
    <w:p w:rsidR="00AC5999" w:rsidRDefault="00AC5999" w:rsidP="00AC5999">
      <w:pPr>
        <w:spacing w:after="0" w:line="240" w:lineRule="auto"/>
      </w:pPr>
    </w:p>
    <w:p w:rsidR="00AC5999" w:rsidRDefault="00AC5999" w:rsidP="00AC5999">
      <w:pPr>
        <w:spacing w:after="0" w:line="240" w:lineRule="auto"/>
      </w:pPr>
      <w:r w:rsidRPr="00AC5999">
        <w:rPr>
          <w:b/>
        </w:rPr>
        <w:t>Лови ошибку!</w:t>
      </w:r>
      <w:r>
        <w:rPr>
          <w:b/>
        </w:rPr>
        <w:t xml:space="preserve"> </w:t>
      </w:r>
      <w:r>
        <w:t xml:space="preserve"> </w:t>
      </w:r>
      <w:r>
        <w:t xml:space="preserve">Этот прием </w:t>
      </w:r>
      <w:r>
        <w:t xml:space="preserve"> позволяет проверить лексико-грамматические знания. Упражнения или тест имеет ошибки, находя которые учащиеся закрепляют лексические и грамматические правила.</w:t>
      </w:r>
    </w:p>
    <w:p w:rsidR="001E4495" w:rsidRDefault="001E4495" w:rsidP="00BB208D">
      <w:pPr>
        <w:spacing w:after="0" w:line="240" w:lineRule="auto"/>
      </w:pPr>
    </w:p>
    <w:p w:rsidR="00BB208D" w:rsidRDefault="001E4495" w:rsidP="00BB208D">
      <w:pPr>
        <w:spacing w:after="0" w:line="240" w:lineRule="auto"/>
        <w:rPr>
          <w:b/>
        </w:rPr>
      </w:pPr>
      <w:r w:rsidRPr="001E4495">
        <w:rPr>
          <w:b/>
        </w:rPr>
        <w:t>Кроссворды</w:t>
      </w:r>
    </w:p>
    <w:p w:rsidR="001E4495" w:rsidRDefault="001E4495" w:rsidP="00BB208D">
      <w:pPr>
        <w:spacing w:after="0" w:line="240" w:lineRule="auto"/>
        <w:rPr>
          <w:b/>
        </w:rPr>
      </w:pPr>
    </w:p>
    <w:p w:rsidR="001E4495" w:rsidRDefault="001E4495" w:rsidP="00BB208D">
      <w:pPr>
        <w:spacing w:after="0" w:line="240" w:lineRule="auto"/>
        <w:rPr>
          <w:b/>
        </w:rPr>
      </w:pPr>
      <w:r w:rsidRPr="001E4495">
        <w:rPr>
          <w:b/>
        </w:rPr>
        <w:t>Загадки</w:t>
      </w:r>
    </w:p>
    <w:p w:rsidR="00AC5999" w:rsidRDefault="00AC5999" w:rsidP="00BB208D">
      <w:pPr>
        <w:spacing w:after="0" w:line="240" w:lineRule="auto"/>
        <w:rPr>
          <w:b/>
        </w:rPr>
      </w:pPr>
    </w:p>
    <w:p w:rsidR="00AC5999" w:rsidRPr="00AC5999" w:rsidRDefault="00AC5999" w:rsidP="00BB208D">
      <w:pPr>
        <w:spacing w:after="0" w:line="240" w:lineRule="auto"/>
      </w:pPr>
      <w:r w:rsidRPr="00AC5999">
        <w:t>Использование подоб</w:t>
      </w:r>
      <w:r>
        <w:t>ных  приемов целеполагания помога</w:t>
      </w:r>
      <w:r w:rsidRPr="00AC5999">
        <w:t>ет учащимся понять и</w:t>
      </w:r>
      <w:r>
        <w:t xml:space="preserve"> принять цели урока, делает </w:t>
      </w:r>
      <w:r w:rsidRPr="00AC5999">
        <w:t xml:space="preserve"> </w:t>
      </w:r>
      <w:r>
        <w:t>урок эффективным и продуктивным</w:t>
      </w:r>
      <w:bookmarkStart w:id="0" w:name="_GoBack"/>
      <w:bookmarkEnd w:id="0"/>
      <w:r w:rsidRPr="00AC5999">
        <w:t>.</w:t>
      </w:r>
    </w:p>
    <w:p w:rsidR="00BA1809" w:rsidRPr="00BA1809" w:rsidRDefault="00BA1809" w:rsidP="00BA1809">
      <w:pPr>
        <w:jc w:val="center"/>
        <w:rPr>
          <w:b/>
        </w:rPr>
      </w:pPr>
    </w:p>
    <w:p w:rsidR="00243CE4" w:rsidRPr="00BF6B2D" w:rsidRDefault="00243CE4" w:rsidP="00243CE4">
      <w:pPr>
        <w:jc w:val="center"/>
        <w:rPr>
          <w:b/>
        </w:rPr>
      </w:pPr>
      <w:r w:rsidRPr="00BF6B2D">
        <w:rPr>
          <w:b/>
        </w:rPr>
        <w:t>Глаголы для формулирования конкретных учебных результатов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701"/>
        <w:gridCol w:w="1417"/>
        <w:gridCol w:w="1701"/>
      </w:tblGrid>
      <w:tr w:rsidR="006800C5" w:rsidTr="001E4495">
        <w:tc>
          <w:tcPr>
            <w:tcW w:w="1843" w:type="dxa"/>
          </w:tcPr>
          <w:p w:rsidR="00243CE4" w:rsidRPr="00BF6B2D" w:rsidRDefault="00243CE4" w:rsidP="00BF6B2D">
            <w:pPr>
              <w:jc w:val="center"/>
              <w:rPr>
                <w:b/>
              </w:rPr>
            </w:pPr>
            <w:r w:rsidRPr="00BF6B2D">
              <w:rPr>
                <w:b/>
              </w:rPr>
              <w:t>Знания</w:t>
            </w:r>
          </w:p>
          <w:p w:rsidR="00243CE4" w:rsidRDefault="00243CE4" w:rsidP="00726983">
            <w:r>
              <w:t>(</w:t>
            </w:r>
            <w:proofErr w:type="spellStart"/>
            <w:r>
              <w:t>факты</w:t>
            </w:r>
            <w:proofErr w:type="gramStart"/>
            <w:r>
              <w:t>,о</w:t>
            </w:r>
            <w:proofErr w:type="gramEnd"/>
            <w:r>
              <w:t>преде</w:t>
            </w:r>
            <w:proofErr w:type="spellEnd"/>
            <w:r w:rsidR="00BF6B2D">
              <w:t>-</w:t>
            </w:r>
            <w:proofErr w:type="spellStart"/>
            <w:r>
              <w:t>ления,термино</w:t>
            </w:r>
            <w:proofErr w:type="spellEnd"/>
            <w:r w:rsidR="00BF6B2D">
              <w:t>-</w:t>
            </w:r>
            <w:r>
              <w:t>логия)</w:t>
            </w:r>
          </w:p>
        </w:tc>
        <w:tc>
          <w:tcPr>
            <w:tcW w:w="1985" w:type="dxa"/>
          </w:tcPr>
          <w:p w:rsidR="00243CE4" w:rsidRPr="00BF6B2D" w:rsidRDefault="00243CE4" w:rsidP="00BF6B2D">
            <w:pPr>
              <w:jc w:val="center"/>
              <w:rPr>
                <w:b/>
              </w:rPr>
            </w:pPr>
            <w:r w:rsidRPr="00BF6B2D">
              <w:rPr>
                <w:b/>
              </w:rPr>
              <w:t>Понимание</w:t>
            </w:r>
          </w:p>
        </w:tc>
        <w:tc>
          <w:tcPr>
            <w:tcW w:w="1843" w:type="dxa"/>
          </w:tcPr>
          <w:p w:rsidR="00243CE4" w:rsidRPr="00BF6B2D" w:rsidRDefault="00243CE4" w:rsidP="00BF6B2D">
            <w:pPr>
              <w:jc w:val="center"/>
              <w:rPr>
                <w:b/>
              </w:rPr>
            </w:pPr>
            <w:r w:rsidRPr="00BF6B2D">
              <w:rPr>
                <w:b/>
              </w:rPr>
              <w:t>Применение</w:t>
            </w:r>
          </w:p>
          <w:p w:rsidR="006800C5" w:rsidRDefault="006800C5" w:rsidP="00726983">
            <w:r>
              <w:t>(использование на практике)</w:t>
            </w:r>
          </w:p>
        </w:tc>
        <w:tc>
          <w:tcPr>
            <w:tcW w:w="1701" w:type="dxa"/>
          </w:tcPr>
          <w:p w:rsidR="00243CE4" w:rsidRPr="00BF6B2D" w:rsidRDefault="00243CE4" w:rsidP="00BF6B2D">
            <w:pPr>
              <w:jc w:val="center"/>
              <w:rPr>
                <w:b/>
              </w:rPr>
            </w:pPr>
            <w:r w:rsidRPr="00BF6B2D">
              <w:rPr>
                <w:b/>
              </w:rPr>
              <w:t>Анализ</w:t>
            </w:r>
          </w:p>
          <w:p w:rsidR="006800C5" w:rsidRDefault="006800C5" w:rsidP="00726983">
            <w:r>
              <w:t>(</w:t>
            </w:r>
            <w:proofErr w:type="spellStart"/>
            <w:proofErr w:type="gramStart"/>
            <w:r>
              <w:t>распределе</w:t>
            </w:r>
            <w:r w:rsidR="001E4495">
              <w:t>-</w:t>
            </w:r>
            <w:r>
              <w:t>ние</w:t>
            </w:r>
            <w:proofErr w:type="spellEnd"/>
            <w:proofErr w:type="gramEnd"/>
            <w:r>
              <w:t xml:space="preserve"> на части)</w:t>
            </w:r>
          </w:p>
        </w:tc>
        <w:tc>
          <w:tcPr>
            <w:tcW w:w="1417" w:type="dxa"/>
          </w:tcPr>
          <w:p w:rsidR="00243CE4" w:rsidRPr="00BF6B2D" w:rsidRDefault="00243CE4" w:rsidP="00BF6B2D">
            <w:pPr>
              <w:jc w:val="center"/>
              <w:rPr>
                <w:b/>
              </w:rPr>
            </w:pPr>
            <w:r w:rsidRPr="00BF6B2D">
              <w:rPr>
                <w:b/>
              </w:rPr>
              <w:t>Синтез</w:t>
            </w:r>
          </w:p>
          <w:p w:rsidR="006800C5" w:rsidRDefault="006800C5" w:rsidP="00726983">
            <w:r>
              <w:t>(получение целого)</w:t>
            </w:r>
          </w:p>
        </w:tc>
        <w:tc>
          <w:tcPr>
            <w:tcW w:w="1701" w:type="dxa"/>
          </w:tcPr>
          <w:p w:rsidR="00243CE4" w:rsidRPr="00BF6B2D" w:rsidRDefault="00243CE4" w:rsidP="00BF6B2D">
            <w:pPr>
              <w:jc w:val="center"/>
              <w:rPr>
                <w:b/>
              </w:rPr>
            </w:pPr>
            <w:r w:rsidRPr="00BF6B2D">
              <w:rPr>
                <w:b/>
              </w:rPr>
              <w:t>Оценка</w:t>
            </w:r>
          </w:p>
          <w:p w:rsidR="006800C5" w:rsidRDefault="006800C5" w:rsidP="00726983">
            <w:r>
              <w:t>(оценивает значение)</w:t>
            </w:r>
          </w:p>
        </w:tc>
      </w:tr>
      <w:tr w:rsidR="006800C5" w:rsidTr="001E4495">
        <w:tc>
          <w:tcPr>
            <w:tcW w:w="1843" w:type="dxa"/>
          </w:tcPr>
          <w:p w:rsidR="00243CE4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-узнаёт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-распознаёт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-воспроизводит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-перечисляет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 xml:space="preserve">-дает </w:t>
            </w:r>
            <w:r w:rsidRPr="006800C5">
              <w:rPr>
                <w:sz w:val="20"/>
                <w:szCs w:val="20"/>
              </w:rPr>
              <w:lastRenderedPageBreak/>
              <w:t>определение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-указывает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-подчеркивает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-формулирует правила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43CE4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lastRenderedPageBreak/>
              <w:t>-кратко излагает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-объясняет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-приводит примеры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-расставляет по порядку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lastRenderedPageBreak/>
              <w:t>-сравнивает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-задает вопрос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-выполняет последовательность действий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lastRenderedPageBreak/>
              <w:t>-повторяет  стандартную процедуру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-демонстрирует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-применяет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lastRenderedPageBreak/>
              <w:t>-преобразует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-переносит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-находит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-подбирает</w:t>
            </w:r>
          </w:p>
          <w:p w:rsidR="00243CE4" w:rsidRDefault="00243CE4" w:rsidP="00726983"/>
        </w:tc>
        <w:tc>
          <w:tcPr>
            <w:tcW w:w="1701" w:type="dxa"/>
          </w:tcPr>
          <w:p w:rsidR="00243CE4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lastRenderedPageBreak/>
              <w:t>-рассуждает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-описывает</w:t>
            </w:r>
          </w:p>
          <w:p w:rsidR="006800C5" w:rsidRP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-различает</w:t>
            </w:r>
          </w:p>
          <w:p w:rsidR="006800C5" w:rsidRDefault="006800C5" w:rsidP="00726983">
            <w:pPr>
              <w:rPr>
                <w:sz w:val="20"/>
                <w:szCs w:val="20"/>
              </w:rPr>
            </w:pPr>
            <w:r w:rsidRPr="006800C5">
              <w:rPr>
                <w:sz w:val="20"/>
                <w:szCs w:val="20"/>
              </w:rPr>
              <w:t>-классифицирует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-исследует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-соотносит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-опровергает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-вычленяет</w:t>
            </w:r>
          </w:p>
          <w:p w:rsidR="00BF6B2D" w:rsidRDefault="00BF6B2D" w:rsidP="00726983">
            <w:r>
              <w:rPr>
                <w:sz w:val="20"/>
                <w:szCs w:val="20"/>
              </w:rPr>
              <w:t>-устанавливает причинно-следственные связи</w:t>
            </w:r>
          </w:p>
        </w:tc>
        <w:tc>
          <w:tcPr>
            <w:tcW w:w="1417" w:type="dxa"/>
          </w:tcPr>
          <w:p w:rsidR="00243CE4" w:rsidRPr="00BF6B2D" w:rsidRDefault="00BF6B2D" w:rsidP="00726983">
            <w:pPr>
              <w:rPr>
                <w:sz w:val="20"/>
                <w:szCs w:val="20"/>
              </w:rPr>
            </w:pPr>
            <w:r w:rsidRPr="00BF6B2D">
              <w:rPr>
                <w:sz w:val="20"/>
                <w:szCs w:val="20"/>
              </w:rPr>
              <w:lastRenderedPageBreak/>
              <w:t>-сообщает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 w:rsidRPr="00BF6B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обобщает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-организует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-строит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-доказывает</w:t>
            </w:r>
          </w:p>
          <w:p w:rsidR="00BF6B2D" w:rsidRDefault="001E4495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proofErr w:type="gramStart"/>
            <w:r w:rsidR="00BF6B2D">
              <w:rPr>
                <w:sz w:val="20"/>
                <w:szCs w:val="20"/>
              </w:rPr>
              <w:t>разрабаты</w:t>
            </w:r>
            <w:r>
              <w:rPr>
                <w:sz w:val="20"/>
                <w:szCs w:val="20"/>
              </w:rPr>
              <w:t>-</w:t>
            </w:r>
            <w:r w:rsidR="00BF6B2D">
              <w:rPr>
                <w:sz w:val="20"/>
                <w:szCs w:val="20"/>
              </w:rPr>
              <w:t>вает</w:t>
            </w:r>
            <w:proofErr w:type="spellEnd"/>
            <w:proofErr w:type="gramEnd"/>
            <w:r w:rsidR="00BF6B2D">
              <w:rPr>
                <w:sz w:val="20"/>
                <w:szCs w:val="20"/>
              </w:rPr>
              <w:t xml:space="preserve"> план</w:t>
            </w:r>
          </w:p>
          <w:p w:rsidR="00BF6B2D" w:rsidRDefault="00BF6B2D" w:rsidP="00726983">
            <w:r>
              <w:rPr>
                <w:sz w:val="20"/>
                <w:szCs w:val="20"/>
              </w:rPr>
              <w:t>-создает алгоритм</w:t>
            </w:r>
          </w:p>
        </w:tc>
        <w:tc>
          <w:tcPr>
            <w:tcW w:w="1701" w:type="dxa"/>
          </w:tcPr>
          <w:p w:rsidR="00243CE4" w:rsidRDefault="00BF6B2D" w:rsidP="0072698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 w:rsidRPr="00BF6B2D">
              <w:rPr>
                <w:sz w:val="20"/>
                <w:szCs w:val="20"/>
              </w:rPr>
              <w:t>высказывает суждение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-обсуждает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-дает рекомендации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-проектирует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-прогнозирует</w:t>
            </w:r>
          </w:p>
          <w:p w:rsidR="00BF6B2D" w:rsidRDefault="00BF6B2D" w:rsidP="0072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-интерпретирует</w:t>
            </w:r>
          </w:p>
          <w:p w:rsidR="00BF6B2D" w:rsidRDefault="00BF6B2D" w:rsidP="00726983">
            <w:r>
              <w:rPr>
                <w:sz w:val="20"/>
                <w:szCs w:val="20"/>
              </w:rPr>
              <w:t>-вносит изменения</w:t>
            </w:r>
          </w:p>
        </w:tc>
      </w:tr>
    </w:tbl>
    <w:p w:rsidR="00AC5999" w:rsidRDefault="00AC5999" w:rsidP="00D0674E"/>
    <w:p w:rsidR="001E4495" w:rsidRPr="00AC5999" w:rsidRDefault="001E4495" w:rsidP="00D0674E">
      <w:pPr>
        <w:rPr>
          <w:b/>
        </w:rPr>
      </w:pPr>
      <w:r w:rsidRPr="00AC5999">
        <w:rPr>
          <w:b/>
        </w:rPr>
        <w:t>Используемые источники:</w:t>
      </w:r>
    </w:p>
    <w:p w:rsidR="00AC5999" w:rsidRDefault="00AC5999" w:rsidP="00AC5999">
      <w:r>
        <w:t xml:space="preserve">1.Технология целеполагания урока. </w:t>
      </w:r>
      <w:proofErr w:type="spellStart"/>
      <w:r>
        <w:t>Г.О.Аствацатуров</w:t>
      </w:r>
      <w:proofErr w:type="spellEnd"/>
      <w:r>
        <w:t>. Волгоград, издательство «Учитель», 2008.</w:t>
      </w:r>
    </w:p>
    <w:p w:rsidR="001E4495" w:rsidRDefault="00AC5999" w:rsidP="00D0674E">
      <w:r>
        <w:t>2.</w:t>
      </w:r>
      <w:r w:rsidR="001E4495">
        <w:t>Материалы курсов повышения квалификации «</w:t>
      </w:r>
      <w:r w:rsidR="001E4495" w:rsidRPr="001E4495">
        <w:t>Урок как пространство для совместной продуктивной деятельности</w:t>
      </w:r>
      <w:r w:rsidR="001E4495">
        <w:t>»</w:t>
      </w:r>
      <w:r w:rsidR="001E4495" w:rsidRPr="001E4495">
        <w:t xml:space="preserve"> </w:t>
      </w:r>
    </w:p>
    <w:p w:rsidR="00BF6B2D" w:rsidRDefault="00AC5999" w:rsidP="00D0674E">
      <w:r>
        <w:t>3.</w:t>
      </w:r>
      <w:r w:rsidR="00BA1809" w:rsidRPr="00BA1809">
        <w:t>Целеполагани</w:t>
      </w:r>
      <w:proofErr w:type="gramStart"/>
      <w:r w:rsidR="00BA1809" w:rsidRPr="00BA1809">
        <w:t>е-</w:t>
      </w:r>
      <w:proofErr w:type="gramEnd"/>
      <w:r w:rsidR="00BA1809" w:rsidRPr="00BA1809">
        <w:t xml:space="preserve"> как </w:t>
      </w:r>
      <w:proofErr w:type="spellStart"/>
      <w:r w:rsidR="00BA1809" w:rsidRPr="00BA1809">
        <w:t>метапредметный</w:t>
      </w:r>
      <w:proofErr w:type="spellEnd"/>
      <w:r w:rsidR="00BA1809" w:rsidRPr="00BA1809">
        <w:t xml:space="preserve"> вид учебной деятельности</w:t>
      </w:r>
      <w:r w:rsidR="00BA1809">
        <w:t xml:space="preserve"> </w:t>
      </w:r>
      <w:hyperlink r:id="rId6" w:history="1">
        <w:r w:rsidR="00BA1809" w:rsidRPr="00703397">
          <w:rPr>
            <w:rStyle w:val="a4"/>
          </w:rPr>
          <w:t>https://kopilkaurokov.ru/angliiskiyYazik/prochee/tsieliepolaghaniie-kak-mietapriedmietnyi-vid-uchiebnoi-dieiatiel-nosti</w:t>
        </w:r>
      </w:hyperlink>
    </w:p>
    <w:p w:rsidR="001E4495" w:rsidRDefault="00AC5999" w:rsidP="00D0674E">
      <w:r>
        <w:t>4.</w:t>
      </w:r>
      <w:r w:rsidR="001E4495" w:rsidRPr="001E4495">
        <w:t xml:space="preserve">Приемы </w:t>
      </w:r>
      <w:r w:rsidR="001E4495">
        <w:t>целеполагания на уроках по ФГОС</w:t>
      </w:r>
    </w:p>
    <w:p w:rsidR="001E4495" w:rsidRDefault="00AC5999" w:rsidP="00D0674E">
      <w:hyperlink r:id="rId7" w:history="1">
        <w:r w:rsidR="001E4495" w:rsidRPr="00703397">
          <w:rPr>
            <w:rStyle w:val="a4"/>
          </w:rPr>
          <w:t>https://multiurok.ru/nadegdazakurdaeva/files/mietodichieskaia-razrabotka-priiemy-tsieliepolaghaniia-na-urokakh-po-fgos.html</w:t>
        </w:r>
      </w:hyperlink>
    </w:p>
    <w:p w:rsidR="001E4495" w:rsidRDefault="001E4495" w:rsidP="00D0674E"/>
    <w:p w:rsidR="00BA1809" w:rsidRDefault="00BA1809" w:rsidP="00D0674E"/>
    <w:p w:rsidR="00D0674E" w:rsidRDefault="00D0674E" w:rsidP="00D0674E"/>
    <w:p w:rsidR="00D0674E" w:rsidRDefault="00D0674E" w:rsidP="00D0674E"/>
    <w:sectPr w:rsidR="00D0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824"/>
    <w:multiLevelType w:val="hybridMultilevel"/>
    <w:tmpl w:val="5C56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83"/>
    <w:rsid w:val="001E4495"/>
    <w:rsid w:val="00243CE4"/>
    <w:rsid w:val="003B1D06"/>
    <w:rsid w:val="006800C5"/>
    <w:rsid w:val="00726983"/>
    <w:rsid w:val="008C36B9"/>
    <w:rsid w:val="00AC5999"/>
    <w:rsid w:val="00B14636"/>
    <w:rsid w:val="00BA1809"/>
    <w:rsid w:val="00BB208D"/>
    <w:rsid w:val="00BF6B2D"/>
    <w:rsid w:val="00D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8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8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nadegdazakurdaeva/files/mietodichieskaia-razrabotka-priiemy-tsieliepolaghaniia-na-urokakh-po-f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angliiskiyYazik/prochee/tsieliepolaghaniie-kak-mietapriedmietnyi-vid-uchiebnoi-dieiatiel-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2016-10-25T17:27:00Z</dcterms:created>
  <dcterms:modified xsi:type="dcterms:W3CDTF">2016-10-26T19:13:00Z</dcterms:modified>
</cp:coreProperties>
</file>